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8"/>
          <w:szCs w:val="48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                    </w:t>
      </w:r>
      <w:r w:rsidRPr="00057302">
        <w:rPr>
          <w:rFonts w:ascii="Arial" w:eastAsia="Times New Roman" w:hAnsi="Arial" w:cs="Arial"/>
          <w:b/>
          <w:color w:val="222222"/>
          <w:sz w:val="48"/>
          <w:szCs w:val="48"/>
          <w:lang w:eastAsia="it-IT"/>
        </w:rPr>
        <w:t>RISPOSTA A FURIO COLOMBO</w:t>
      </w:r>
    </w:p>
    <w:p w:rsid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                                                               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Piergiorgio </w:t>
      </w:r>
      <w:proofErr w:type="spellStart"/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Odifreddi</w:t>
      </w:r>
      <w:proofErr w:type="spellEnd"/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Caro C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olombo,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le scrivo a proposito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del riferimento ai miei supposti "negazionismo" e "antisemitismo", che lei ha fatto ne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l suo articolo del 29 febbraio su questo giornale, intitolato </w:t>
      </w:r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Antisemiti, chi sono i nuovi sostenitori del negazionismo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e che s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egue e prosegue le linee della </w:t>
      </w:r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fatwa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(o, da parte sua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dell'</w:t>
      </w:r>
      <w:proofErr w:type="spellStart"/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herem</w:t>
      </w:r>
      <w:proofErr w:type="spellEnd"/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) contro di me dello scorso ottobre.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er quanto possa interessare, io non sono affatto né negazionista, né tanto men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 antisemita. Semplicemente, a proposito dell'O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locausto (o meglio, dell'uso che ne è stato fatto) mi sono limitato a dire cose che erano già state dette in precedenza da persone altrettanto poco neg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azioniste, o antisemite, quali John Kennedy o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Hannah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rendt</w:t>
      </w:r>
      <w:proofErr w:type="spellEnd"/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ei, che è un esperto della cultura statunitense, dovrebb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 ricordare le dure parole che Kennedy scrisse nei suoi </w:t>
      </w:r>
      <w:proofErr w:type="spellStart"/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Profiles</w:t>
      </w:r>
      <w:proofErr w:type="spellEnd"/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 xml:space="preserve"> in </w:t>
      </w:r>
      <w:proofErr w:type="spellStart"/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courage</w:t>
      </w:r>
      <w:proofErr w:type="spellEnd"/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, a proposito dello 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“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scempio dei valori american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”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che fu fatto nel processo di Norimberga. E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logiando invece, appunto come esempio di corag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gio, le posizioni del senatore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Taft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analoghe alle sue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: posizioni che costarono a quest’ultimo la </w:t>
      </w:r>
      <w:r w:rsidR="00C832F5" w:rsidRPr="00C832F5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nomination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repubblicana nel 1948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C832F5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sono sicuro che 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lei 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conoscerà anche le analoghe pa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role, altrettanto dure, che la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Arendt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scrisse in </w:t>
      </w:r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La banalità del male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a proposito del processo Eichmann a G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erusalemme. </w:t>
      </w:r>
    </w:p>
    <w:p w:rsidR="00057302" w:rsidRPr="00057302" w:rsidRDefault="00C832F5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N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at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uralmente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e ovviamente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, né Kennedy, né la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rendt</w:t>
      </w:r>
      <w:proofErr w:type="spellEnd"/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 si sognavano (e se posso modestamente aggiungere, ne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ppure io mi sogno) di negare l'Olocausto o le camere a g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as. Semplicemente, erano (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 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anch’io 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sono) in grado di distinguere le responsabilità naziste, generali e individuali, dall'uso pro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pagandistico che gli alleati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lastRenderedPageBreak/>
        <w:t>a Norimberga, e gli israeliani a G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erusalemme, ne fecero in due processi che erano intesi appunto come tali.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U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na propaganda che oggi persino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una persona non sospetta, come Anna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Foa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, ha descritto il 24 gennaio in un'intervista a </w:t>
      </w:r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Repubblica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come "</w:t>
      </w:r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shoah business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", ech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eggiando il titolo del famoso </w:t>
      </w:r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L'industria dell'olocausto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di Norman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Finkelstein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pubblicato in I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talia da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izzoli 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(che, le ricordo, è presieduta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da 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una persona non sospetta come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Paolo M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ieli).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embra però che oggi in certi ambienti la parola "propaganda" sia invece diventata anatema, e non si possa pronunciare se non correndo il rischio di far passare come nega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zionisti non solo me, ma addiritt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ura Kennedy, la </w:t>
      </w:r>
      <w:proofErr w:type="spellStart"/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Arendt</w:t>
      </w:r>
      <w:proofErr w:type="spellEnd"/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o la </w:t>
      </w:r>
      <w:proofErr w:type="spellStart"/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Foa</w:t>
      </w:r>
      <w:proofErr w:type="spellEnd"/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!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I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o non sono affatto andato oltre le loro posizioni, ma temo che lei e altri, che siete intervenuti al proposito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nella </w:t>
      </w:r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fatwa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o 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nell'</w:t>
      </w:r>
      <w:proofErr w:type="spellStart"/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herem</w:t>
      </w:r>
      <w:proofErr w:type="spellEnd"/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citato, non abbiate mai fatto lo sforzo (deontologico, per dei giornalisti) di andare a controllare cosa avevo veramente sostenuto.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V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 siete invece fidati di ciò che ne aveva scritto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su </w:t>
      </w:r>
      <w:proofErr w:type="spellStart"/>
      <w:r w:rsidR="00C832F5" w:rsidRPr="00C832F5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Twitter</w:t>
      </w:r>
      <w:proofErr w:type="spellEnd"/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agli inizi, una persona s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uperficiale e conformista come Gianni R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iotta, c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he lei ovviamente ben conosce. N</w:t>
      </w:r>
      <w:r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el caso volesse informarsi tardivamente, può trovare la rassegna di ciò che ho veramente detto, e del particolare contesto in cui l'ho detto, oltre che di ciò che mi è stato fatto dire, sulla mia </w:t>
      </w:r>
      <w:r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homepage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r w:rsidR="00D1440D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in rete.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D1440D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 faccio 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comunque 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notare che, essend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 io fatto di pasta diversa da R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iotta, se fossi negazionista non avrei alcun problema a dirlo apertamente in pubblico, così come ho fatto per altre opinioni controcorrente che ho s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ostenuto nel corso degli anni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: ad esempio, sulla Chiesa o su Israele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. M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 mi secca essere messo alla gogna per cose che non penso, e che non ho detto, solo perché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un giornalista senza scrupoli né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professionalità ha lanciato la sua </w:t>
      </w:r>
      <w:r w:rsidR="00057302"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fatwa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, e altri l'hanno seguito nel loro </w:t>
      </w:r>
      <w:proofErr w:type="spellStart"/>
      <w:r w:rsidR="00057302"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herem</w:t>
      </w:r>
      <w:proofErr w:type="spellEnd"/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senza preoccuparsi di controllare le sue fonti e i suoi motivi (e qu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esta è, se posso aggiungere, una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doppia leggerezza, visto il tipo e i suoi precedenti).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D1440D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lastRenderedPageBreak/>
        <w:t>N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aturalmente, non sono d'accordo sull'equazione tra antisionismo e antisemitismo che lei traccia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nel suo articolo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, peraltro in linea con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un'abitudine ormai inveterata. N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on è mai una buona cosa,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ed è anzi sempre una pessima cosa,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mescolare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tra loro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concetti diversi. L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'antisionismo è politico, mentre l'antisemitismo è razziale: confonderli sarebbe tanto ridicolo, quanto accusare gli oppositori della politica statunitense di "</w:t>
      </w:r>
      <w:proofErr w:type="spellStart"/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antiarianesimo</w:t>
      </w:r>
      <w:proofErr w:type="spellEnd"/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", o "</w:t>
      </w:r>
      <w:proofErr w:type="spellStart"/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antiwaspismo</w:t>
      </w:r>
      <w:proofErr w:type="spellEnd"/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".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D1440D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mmagino che lei cont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inui a essere un lettore della </w:t>
      </w:r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 xml:space="preserve">New </w:t>
      </w:r>
      <w:proofErr w:type="spellStart"/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york</w:t>
      </w:r>
      <w:proofErr w:type="spellEnd"/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 xml:space="preserve"> </w:t>
      </w:r>
      <w:proofErr w:type="spellStart"/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review</w:t>
      </w:r>
      <w:proofErr w:type="spellEnd"/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 xml:space="preserve"> of books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dopo esserne stato un collaboratore, e che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dunque conosca l'articolo che Tony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J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udt</w:t>
      </w:r>
      <w:proofErr w:type="spellEnd"/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vi ha pubblicato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il 13 maggio 2010, intitolato </w:t>
      </w:r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 xml:space="preserve">On </w:t>
      </w:r>
      <w:proofErr w:type="spellStart"/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being</w:t>
      </w:r>
      <w:proofErr w:type="spellEnd"/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 xml:space="preserve"> austere and </w:t>
      </w:r>
      <w:proofErr w:type="spellStart"/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being</w:t>
      </w:r>
      <w:proofErr w:type="spellEnd"/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 xml:space="preserve"> </w:t>
      </w:r>
      <w:proofErr w:type="spellStart"/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jews</w:t>
      </w:r>
      <w:proofErr w:type="spellEnd"/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nel quale egli spiega qual è il motivo profondo della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confusione fra i due termini. E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cioè, il fatto che in un periodo come quello odierno, in cui l'ebraismo non è più una condizione vissuta da una buona parte della popolazione di origine ebraica, esso si riduce ormai a due soli aspetti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: la memoria sacramentale dell'O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loc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austo, e la difesa acritica di I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sraele.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D1440D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J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udt</w:t>
      </w:r>
      <w:proofErr w:type="spellEnd"/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dice letteralmente che oggi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per molti,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"essere ebreo si traduce per lo più nel ricordare che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cosa significhi essere ebreo". E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questo spiega perché avere posizioni non supinamente apologetiche a proposi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to della rappresentazione (non dei fatti!) dell'Olocausto</w:t>
      </w:r>
      <w:r w:rsidR="00C832F5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o della politica (non dell’esistenza!) di Is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raele, abbia l'effetto di vedersi scaricare addosso le qualifiche di ne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gazionismo e di antisemitismo. E’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tutto psicologicamente comprensibile, da parte di chi lo fa (voi), ma non è affatto umanamente sostenibile, da parte di chi lo riceve (me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e altri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). 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D1440D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er concludere, devo confessare che questa faccenda mi ha veramente stupito per la totale mancanza di professionalità della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classe giornalistica italiana. Passi R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iotta, che è quel che è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come ha dimostrato con il suo trasformismo. M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a che nessuno, e sottolineo </w:t>
      </w:r>
      <w:r w:rsidR="00057302"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nessuno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di tutti coloro che si sono erti a giu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dici inquisitori sui media (da Calabresi e Aldo Grasso, a P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irani e lei) si sia sentito in dovere, prima di fare accuse infamanti, di controllare almeno le fonti, e abbia invece semplicemente ripetuto citazioni parziali e giudizi definitivi, mi fa pensare che anche il resto di ciò che leggo sui </w:t>
      </w:r>
      <w:r w:rsidR="00A81D94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loro 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giornali sia ispirato allo stesso concetto di correttezza, e certo non 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lastRenderedPageBreak/>
        <w:t>ispi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ra me a continuare a leggerlo. A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ltro che "dire le cose che non si possono dire e vedere le cose che s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 preferisce non vedere", come l’amico T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rav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aglio descriveva la linea dell'</w:t>
      </w:r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U</w:t>
      </w:r>
      <w:r w:rsidR="00057302"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nità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quand'era diretta da lei!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D1440D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 scuso di aver segui</w:t>
      </w:r>
      <w:r w:rsidR="00A81D94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to in questa mail l'esempio di Benedetto XVI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che nella lettera che mi ha mandato qualche mese fa scriveva: "del dialogo fa parte la franchezza, e solo cos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ì può crescere la conoscenza". S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ono naturalmente disposto a continuare pacatamente un dialogo fra noi, sia privato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(come ho dimostrato inviandole questa lettera, alla quale lei non ha risposto)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che pubblico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(come faccio ora). M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 mi prem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eva, viste le sue parole del 29 febbraio, mettere i lettori del </w:t>
      </w:r>
      <w:r w:rsidRPr="00D1440D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Fatto Quotidiano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in gua</w:t>
      </w:r>
      <w:r w:rsidR="00A81D94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rdia sul fatto che 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lei continua a ripetere cose </w:t>
      </w:r>
      <w:r w:rsidR="00A81D94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forse 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non meditate</w:t>
      </w:r>
      <w:r w:rsidR="00A81D94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e </w:t>
      </w:r>
      <w:r w:rsidR="00A81D94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certo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scorrette. 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D1440D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</w:t>
      </w:r>
      <w:r w:rsidR="00057302" w:rsidRPr="00057302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ordialmente, </w:t>
      </w:r>
      <w:proofErr w:type="spellStart"/>
      <w:r w:rsidR="00057302"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malgré</w:t>
      </w:r>
      <w:proofErr w:type="spellEnd"/>
      <w:r w:rsidR="00057302" w:rsidRPr="00057302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 xml:space="preserve"> tout</w:t>
      </w:r>
      <w:r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.</w:t>
      </w:r>
    </w:p>
    <w:p w:rsidR="00057302" w:rsidRPr="00057302" w:rsidRDefault="00057302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057302" w:rsidRPr="00057302" w:rsidRDefault="00D1440D" w:rsidP="0005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Piergiorgio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Odifreddi</w:t>
      </w:r>
      <w:proofErr w:type="spellEnd"/>
    </w:p>
    <w:p w:rsidR="00FC2A7F" w:rsidRPr="00057302" w:rsidRDefault="00FC2A7F">
      <w:pPr>
        <w:rPr>
          <w:sz w:val="32"/>
          <w:szCs w:val="32"/>
        </w:rPr>
      </w:pPr>
    </w:p>
    <w:sectPr w:rsidR="00FC2A7F" w:rsidRPr="00057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02"/>
    <w:rsid w:val="00057302"/>
    <w:rsid w:val="00A81D94"/>
    <w:rsid w:val="00C832F5"/>
    <w:rsid w:val="00D1440D"/>
    <w:rsid w:val="00E768E2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2015-01-06T23:15:00Z</dcterms:created>
  <dcterms:modified xsi:type="dcterms:W3CDTF">2015-01-06T23:15:00Z</dcterms:modified>
</cp:coreProperties>
</file>